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42" w:rsidRPr="00261F42" w:rsidRDefault="00261F42" w:rsidP="00261F42">
      <w:pPr>
        <w:spacing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1F42">
        <w:rPr>
          <w:rFonts w:ascii="Arial" w:eastAsia="Times New Roman" w:hAnsi="Arial" w:cs="Arial"/>
          <w:color w:val="B3B3B3"/>
          <w:sz w:val="18"/>
          <w:szCs w:val="18"/>
          <w:lang w:eastAsia="ru-RU"/>
        </w:rPr>
        <w:t>Трудового кодекса Российской Федерации в связи с жалобой гражданина С.Ф. Жарова”</w:t>
      </w:r>
      <w:r w:rsidRPr="00261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A0D80F9" wp14:editId="0319BED5">
            <wp:extent cx="212725" cy="159385"/>
            <wp:effectExtent l="0" t="0" r="0" b="0"/>
            <wp:docPr id="1" name="Рисунок 1" descr="https://www.garant.ru/images/www/all/gor_doc_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images/www/all/gor_doc_obz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anchor="review" w:history="1">
        <w:r w:rsidRPr="00261F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Обзор документа</w:t>
        </w:r>
      </w:hyperlink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261F42" w:rsidRPr="00261F42" w:rsidRDefault="00261F42" w:rsidP="0025496E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61F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Конституционного Суда РФ от 11 апреля 2019 г. № 17-П “По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 С.Ф. Жарова”</w:t>
      </w:r>
    </w:p>
    <w:p w:rsidR="00261F42" w:rsidRPr="00261F42" w:rsidRDefault="00261F42" w:rsidP="0025496E">
      <w:pPr>
        <w:spacing w:after="180" w:line="25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 апреля 2019 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Конституционный Суд Российской Федерации в составе Председателя В.Д.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Зорькина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судей К.В.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Арановского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А.И.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Бойцова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Н.С. Бондаря, Г.А. Гаджиева, Ю.М. Данилова, Л.М.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Жарковой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С.М. Казанцева, С.Д. Князева, А.Н.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Кокотова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Л.О.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Красавчиковой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С.П. Маврина, Н.В. Мельникова, Ю.Д. 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Рудкина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О.С. Хохряковой, В.Г. Ярославцева,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руководствуясь статьей 125 (часть 4) Конституции Российской Федерации, пунктом 3 части первой, частями третьей и четвертой статьи 3, частью первой статьи 21, статьями 36, 47.1, 74, 86, 96, 97 и 99 Федерального конституционного закона "О Конституционном Суде Российской Федерации",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рассмотрел в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заседании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 проведения слушания дело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Поводом к рассмотрению дела явилась жалоба гражданина С.Ф. Жарова. Основанием к рассмотрению дела явилась обнаружившаяся неопределенность в вопросе о том, соответствуют ли Конституции Российской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оспариваемые заявителем законоположения.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Заслушав сообщение судьи-докладчика В.Г. Ярославцева, исследовав представленные документы и иные материалы, Конституционный Суд Российской Федерации установил: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129 Трудового кодекса Российской Федерации, раскрывающей содержание основных понятий, используемых при регулировании оплаты труда, заработной платой (оплатой труда работника) признаются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 (часть первая); тарифной ставкой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 (часть третья);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окладом (должностным окладом)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(часть четвертая);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базовым окладом (базовым должностным окладом), базовой ставкой заработной платы - минимальные оклад (должностной оклад), ставка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 (часть пятая).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 первая статьи 133 данного Кодекса предусматривает,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населения, а часть третья той же статьи закрепляет правило, в соответствии с которым месячная заработная плата работника, полностью отработавшего за этот период норму рабочего времени и выполнившего нормы труда (трудовые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обязанности), не может быть ниже минимального размера оплаты труда.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статьи 133.1 названного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(часть первая) для работников, работающих на его территории, за исключением работников организаций, финансируемых из федерального бюджета (часть вторая);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размер минимальной заработной платы в субъекте Российской Федерации устанавливается с учетом социально-экономических условий и величины прожиточного минимума трудоспособного населения в нем (часть третья) и не может быть ниже минимального размера оплаты труда, установленного федеральным законом (часть четвертая);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частями третьей и четвертой статьи 48 данного Кодекса или на которого указанное соглашение распространено в порядке, установленном частями шестой - восьмой статьи 133.1 данного Кодекса, не может быть ниже размера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минимальной заработной платы в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этом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субъекте Российской Федерации при условии, что таким работником полностью отработана за этот период норма рабочего времени и выполнены нормы труда (трудовые обязанности) (часть одиннадцатая).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Заявителю по настоящему делу гражданину С.Ф. Жарову, работающему сторожем в АО "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Витимэнерго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был установлен должностной оклад в размере 4268 рублей, районный коэффициент и процентная надбавка к заработной плате за работу в приравненных к районам Крайнего Севера местностях, а также иные надбавки и доплаты, предусмотренные локальными нормативными актами работодателя.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Оплата сверхурочной работы, работы в ночное время, в выходные и нерабочие праздничные дни производилась в повышенном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размере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исходя из установленного оклада.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Поскольку должностной оклад заявителю был установлен в размере ниже размера минимальной заработной платы в Иркутской области, расчет оплаты труда осуществлялся исходя из того, что размер заработной платы с учетом оклада и всех выплат, включая оплату сверхурочной работы, работы в ночное время, в выходные и нерабочие праздничные дни, должен составлять не менее минимального размера оплаты труда (начисление районного коэффициента и процентной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надбавки производилось на всю сумму заработной платы). Полагая, что действия работодателя по начислению заработной платы нарушают его права на получение справедливой заработной платы, заявитель обратился в суд.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Решением </w:t>
      </w:r>
      <w:proofErr w:type="spell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Бодайбинского</w:t>
      </w:r>
      <w:proofErr w:type="spell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городского суда Иркутской области от 18 апреля 2018 года требования С.Ф. Жарова были частично удовлетворены.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Суд счел, что за основу оплаты труда в 2017 году следует принять размер минимальной заработной платы,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установленный Региональным соглашением о минимальной заработной плате в Иркутской области от 26 января 2017 года (12 652 рубля), а в январе 2018 года в связи с расторжением названного соглашения - минимальный размер оплаты труда, установленный на федеральном уровне (9 489 рублей), исходя из которого необходимо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исчислять оплату фактически отработанного времени согласно графику дежурств, после чего к полученной сумме следует прибавить сумму оплаты в повышенном размере сверхурочной работы, работы в ночное время, выходные и нерабочие праздничные дни (в те месяцы, когда она производилась) и начислить районный коэффициент и процентную надбавку к заработной плате.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Апелляционным определением судебной коллегии по гражданским делам Иркутского областного суда от 2 августа 2018 года решение суда первой инстанции было изменено, сумма, подлежащая взысканию в пользу С.Ф. Жарова, уменьшена.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суд исходил из того, что заработная плата работника, включающая все компенсационные и стимулирующие выплаты, предусмотренные системой оплаты труда, а также повышенную оплату труда в условиях, отклоняющихся от нормальных, должна быть не менее минимального размера оплаты труда (либо минимального размера заработной платы в субъекте Российской Федерации), после чего на нее начисляются районный коэффициент и процентная надбавка.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мнению заявителя, положения статьи 129, частей первой и третьей статьи 133, а также частей первой - четвертой и одиннадцатой статьи 133.1 Трудового кодекса Российской Федерации не соответствуют статьям 7, 17, 19, 37 и 55 Конституции Российской Федерации, поскольку по смыслу, придаваемому им правоприменительной практикой, они позволяют работодателю устанавливать работнику заработную плату, размер которой с учетом включения в ее состав компенсационной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выплаты за работу во вредных условиях труда, оплаты сверхурочной работы, работы в ночное время, в выходные и нерабочие праздничные дни не превышает минимального размера оплаты труда в Российской Федерации, что нарушает его право на повышенный размер оплаты труда в условиях, отклоняющихся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нормальных.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статьями 74, 96 и 97 Федерального конституционного закона "О Конституционном Суде Российской Федерации"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части, в какой они были применены в деле заявителя, рассмотрение которого завершено в суде, и принимает постановление только по предмету, указанному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жалобе, оценивая как буквальный смысл проверяемых законоположений, так и смысл, придаваемый им официальным толкованием или сложившейся правоприменительной практикой, а также исходя из их места в системе правовых норм, не будучи связанным при принятии решения основаниями и доводами, изложенными в жалобе.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следует из судебных постановлений, принятых по делу заявителя, работу во вредных условиях труда он не осуществлял, соответствующие выплаты для него не предусмотрены.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предметом рассмотрения Конституционного Суда Российской Федерации по настоящему делу являются взаимосвязанные положения статьи 129, частей первой и третьей статьи 133 и частей первой - четвертой и одиннадцатой статьи 133.1 Трудового кодекса Российской Федерации в той мере, в какой на основании данных норм решается вопрос о включении в состав заработной платы (части заработной платы) работника, не превышающей минимального размера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оплаты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труда, повышенной оплаты сверхурочной работы, работы в ночное время, выходные и нерабочие праздничные дни.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Конституция Российской Федерации, провозглашая Россию правовым социальным государством, политика которого направлена на создание условий, обеспечивающих достойную жизнь и свободное развитие человека, закрепляет, что в Российской Федерации охраняются труд и здоровье людей,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(статья 1, часть 1;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статья 7; статья 37, часть 3).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справедливую заработную плату и равное вознаграждение за труд равной ценности без какого бы то ни было различия признается одним из важнейших прав в сфере труда Всеобщей декларацией прав человека (статья 23), Международным пактом об экономических, социальных и культурных правах (статья 7), а также Европейской социальной хартией (пересмотренной), принятой в городе Страсбурге 3 мая 1996 года (статья 4 части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II).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силу приведенных положений Конституции Российской Федерации и международно-правовых актов правовое регулирование оплаты труда лиц, работающих по трудовому договору, должно гарантировать установление им заработной платы в размере, обусловленном объективными критериями, отражающими квалификацию работника, характер и содержание его трудовой деятельности и учитывающими условия ее осуществления, которые в совокупности определяют объем выплачиваемых работнику денежных средств, необходимых для нормального воспроизводства рабочей силы.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определение конкретного размера заработной платы должно не только основываться на количестве и качестве труда, но и учитывать необходимость реального повышения размера оплаты труда при отклонении условий работы от нормальных (постановления Конституционного Суда Российской Федерации от 7 декабря 2017 года N 38-П и от 28 июня 2018 года N 26-П;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Конституционного Суда Российской Федерации от 8 декабря 2011 года N 1622-О-О).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части первой статьи 129 Трудового кодекса Российской Федерации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иные выплаты компенсационного характера) и стимулирующие выплаты (доплаты и надбавки стимулирующего характера, премии и иные поощрительные выплаты). Соответственно, заработная плата работника помимо тарифной части (тарифной ставки, оклада, в том числе должностного) может включать в себя стимулирующие и (или) компенсационные выплаты. Компенсационные выплаты (доплаты и надбавки) имеют целью компенсировать влияние на работника неблагоприятных факторов. Включение названных выплат в состав заработной платы обусловлено наличием таких факторов (производственных, климатических и т.п.), которые характеризуют трудовую деятельность работника.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Наряду с этим в том случае, когда трудовая деятельность осуществляется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соответствующие выплаты, предусмотренные трудовым законодательством (статья 149 Трудового кодекса Российской Федерации).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Соответственно, оплата труда работника может состоять из заработной платы, установленной для него с учетом условий труда и особенностей трудовой деятельности, и выплат за осуществление работы в условиях, отклоняющихся от нормальных, в том числе при выполнении сверхурочной работы, работы в ночное время, в выходные и нерабочие праздничные дни, - работы, производимой в то время, которое предназначено для отдыха.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Как следует из буквального смысла статей 149, 152, 153 и 154 Трудового кодекса Российской Федерации, сверхурочная работа, работа в ночное время, в выходные и нерабочие праздничные дни оплачивается в повышенном размере.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в соответствии с названным Кодексом сверхурочная работа оплачивается за первые два часа работы не менее чем в полуторном размере, за последующие часы - не менее чем в двойном размере (статья 152), работа в выходной или нерабочий праздничный день оплачивается не менее чем в двойном размере (статья 153), каждый час работы в ночное время оплачивается в повышенном размере по сравнению с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работой в нормальных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(статья 154).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повышенной оплаты сверхурочной работы, работы в выходные и нерабочие праздничные дни, работы в ночное время обусловлено повышенными трудозатратами работника, вызванными сокращением времени отдыха либо работой в то время, которое биологически не предназначено для активной деятельности, а также лишением работника возможности распоряжаться временем отдыха, использовать его по прямому предназначению, что приводит к дополнительной физиологической и психоэмоциональной нагрузке и создает угрозу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причинения вреда здоровью работой в ночное время либо сокращением времени на восстановление сил и работоспособности.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Приведенное законодательное регулирование призвано не только компенсировать работнику отрицательные последствия отклонения условий его работы от нормальных, но и гарантировать эффективное осуществление им права на справедливую заработную плату, что отвечает целям трудового законодательства и согласуется с основными направлениями государственной политики в области охраны труда, одним из которых является приоритет сохранения жизни и здоровья работников (статьи 1 и 2, часть первая статьи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210 Трудового кодекса Российской Федерации).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Привлечение работника в установленном законом порядке к сверхурочной работе, работе в выходные и нерабочие праздничные дни, как это следует из Трудового кодекса Российской Федерации, производится на основании распоряжения работодателя с соблюдением предусмотренных законом правил (об ограничении привлечения к ним определенных категорий работников, о необходимости, как правило, получить письменное согласие работника) (статьи 99 и 113).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Кроме того, для сверхурочных работ установлено количественное ограничение - не более 4 часов в течение двух дней подряд и 120 часов в год (часть шестая статьи 99). Работа в ночное время осуществляется на основе установленного режима рабочего времени, в том числе графиков сменности (статья 103).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Следовательно, выполнение работы в указанных условиях, отклоняющихся от нормальных, не может производиться на регулярной основе (за исключением случаев приема на работу исключительно для работы в ночное время); при сменной работе количество ночных смен в разных периодах может различаться.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Таким образом, выплаты, связанные со сверхурочной работой, работой в ночное время, в выходные и нерабочие праздничные дни, в отличие от компенсационных выплат иного характера (за работу с вредными и (или) опасными условиями труда, в местностях с особыми климатическими условиями), не могут включаться в состав регулярно получаемой месячной заработной платы, которая исчисляется с учетом постоянно действующих факторов организации труда, производственной среды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неблагоприятных климатических условий и т.п.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Трудовой кодекс Российской Федерации в соответствии с требованиями статей 7 (часть 2) и 37 (часть 3) Конституции Российской Федерации предусматривает, что величина минимального размера оплаты труда является одной из основных государственных гарантий по оплате труда работников (статья 130).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(часть первая статьи 133), 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(часть третья статьи 133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статье 133.1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платы, который определяется с учетом социально-экономических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труда, установленного федеральным законом (части первая, третья и четвертая).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Конституционный Суд Российской Федерации в ряде своих решений сформулировал следующие правовые позиции относительно института минимального размера оплаты труда и минимальной заработной платы в субъекте Российской Федерации: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институт минимального размера оплаты труда по своей конституционно-правовой природе предназначен для установления того минимума денежных средств, который должен быть гарантирован работнику в качестве вознаграждения за выполнение трудовых обязанностей с учетом прожиточного минимума (Постановление от 27 ноября 2008 года N 11-П);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вознаграждение за труд не ниже установленного федеральным законом минимального размера оплаты труда гарантируется каждому,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следовательно, определение его величины должно основываться на характеристиках труда, свойственных любой трудовой деятельности, без учета особых условий ее осуществления; это согласуется с социально-экономической природой минимального размера оплаты труда,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(Постановление от 7 декабря 2017 года N 38-П);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положения статей 129 и 133 Трудового кодекса Российской Федерации не затрагивают правил определения заработной платы работника и системы оплаты труда, при установлении которой каждым работодателем должны в равной мере соблюдаться как норма, гарантирующая работнику, полностью отработавшему за месяц норму рабочего времени и выполнившему нормы труда (трудовые обязанности), заработную плату не ниже минимального размера оплаты труда, так и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требования о повышенной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оплате труда при осуществлении работы в условиях, отклоняющихся от нормальных (определения от 1 октября 2009 года N 1160-О-О и от 17 декабря 2009 года N 1557-О-О);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механизме правового регулирования оплаты труда дополнительная гарантия в виде минимальной заработной платы в субъекте Российской Федерации должна в соответствующих случаях применяться вместо величины минимального размера оплаты труда, установленного федеральным законом, не заменяя и не отменяя иных гарантий, предусмотренных Трудовым кодексом Российской Федерации (Постановление от 7 декабря 2017 года N 38-П).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 приведенных правовых позиций следует, что оспариваемые положения статей 129, 133 и 133.1 Трудового кодекса Российской Федерации в системной связи с его статьями 149, 152-154 предполагают наряду с соблюдением гарантии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также повышенную оплату труда в условиях, отклоняющихся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нормальных, в том числе при работе в ночное время, сверхурочной работе, работе в выходные и нерабочие праздничные дни.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Соответственно,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(минимальной заработной платы), так и повышенная оплата в случае выполнения работы в условиях, отклоняющихся от нормальных, в том числе за сверхурочную работу, работу в ночное время, в выходные и нерабочие праздничные дни.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противном случае месячная заработная плата работников, привлеченных к выполнению работы в условиях, отклоняющихся от нормальных, не отличалась бы от оплаты труда лиц, работающих в обычных условиях, т.е. работники, выполнявшие сверхурочную работу, работу в ночное время, в выходной или нерабочий праздничный день (т.е. в условиях, отклоняющихся от нормальных), оказывались бы в таком же положении, как и те, кто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выполнял аналогичную работу в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рамках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установленной продолжительности рабочего дня (смены), в дневное время, в будний день.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приводило бы к несоразмерному ограничению трудовых прав работников, привлеченных к выполнению работы в условиях, отклоняющихся от нормальных, и вступало бы в противоречие с вытекающими из статьи 19 (часть 2) Конституции Российской Федерации общеправовыми принципами юридического равенства и справедливости, обусловливающими, помимо прочего, необходимость предусматривать обоснованную дифференциацию в отношении субъектов, находящихся в разном положении, и предполагающими обязанность государства установить правовое регулирование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сфере оплаты труда,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которое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обеспечивает справедливую, основанную на объективных критериях, заработную плату всем работающим и не допускает применения одинаковых правил к работникам, находящимся в разном положении. Кроме того, это противоречило бы и статье 37 (часть 3)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Конституции Российской Федерации, устанавливающей гарантию вознаграждения за труд без какой бы то ни было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дискриминации.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взаимосвязанные положения статьи 129, частей первой и третьей статьи 133 и частей первой - четвертой и одиннадцатой статьи 133.1 Трудового кодекса Российской Федерации по своему конституционно-правовому смыслу в системе действующего правового регулирования не предполагают включения в состав заработной платы (части заработной платы) работника, не превышающей </w:t>
      </w: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минимального размера оплаты труда, повышенной оплаты сверхурочной работы, работы в ночное время, выходные и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нерабочие праздничные дни.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Исходя из изложенного и руководствуясь статьями 47.1, 71, 72, 74, 75, 78, 79 и 100 Федерального конституционного закона "О Конституционном Суде Российской Федерации", Конституционный Суд Российской Федерации постановил: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Признать взаимосвязанные положения статьи 129, частей первой и третьей статьи 133 и частей первой - четвертой и одиннадцатой статьи 133.1 Трудового кодекса Российской Федерации не противоречащими Конституции Российской Федерации, поскольку по своему конституционно-правовому смыслу в системе действующего правового регулирования они 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работы в ночное время, выходные и нерабочие праздничные дни.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Выявленный в настоящем Постановлении конституционно-правовой смысл взаимосвязанных положений статьи 129, частей первой и третьей статьи 133 и частей первой - четвертой и одиннадцатой статьи 133.1 Трудового кодекса Российской Федерации является общеобязательным, что исключает любое иное их истолкование в правоприменительной практике.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Правоприменительные решения по делу гражданина Жарова Сергея Федоровича подлежат пересмотру с учетом выявленного в настоящем Постановлении конституционно-правового смысла взаимосвязанных положений статьи 129, частей первой и третьей статьи 133 и частей первой - четвертой и одиннадцатой статьи 133.1 Трудового кодекса Российской Федерации.</w:t>
      </w:r>
      <w:proofErr w:type="gramEnd"/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Настоящее Постановл</w:t>
      </w:r>
      <w:bookmarkStart w:id="1" w:name="_GoBack"/>
      <w:bookmarkEnd w:id="1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Постановление должно быть опубликовано также в "</w:t>
      </w:r>
      <w:proofErr w:type="gramStart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Вестнике</w:t>
      </w:r>
      <w:proofErr w:type="gramEnd"/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Конституционного Суда Российской Федерации".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2326"/>
      </w:tblGrid>
      <w:tr w:rsidR="00261F42" w:rsidRPr="00261F42" w:rsidTr="00261F42">
        <w:tc>
          <w:tcPr>
            <w:tcW w:w="2500" w:type="pct"/>
            <w:hideMark/>
          </w:tcPr>
          <w:p w:rsidR="00261F42" w:rsidRPr="00261F42" w:rsidRDefault="00261F42" w:rsidP="002549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1F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Конституционный Суд</w:t>
            </w:r>
            <w:r w:rsidRPr="00261F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hideMark/>
          </w:tcPr>
          <w:p w:rsidR="00261F42" w:rsidRPr="00261F42" w:rsidRDefault="00261F42" w:rsidP="002549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1F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</w:tbl>
    <w:p w:rsidR="00261F42" w:rsidRPr="00261F42" w:rsidRDefault="00261F42" w:rsidP="0025496E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261F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261F42" w:rsidRPr="00261F42" w:rsidRDefault="00261F42" w:rsidP="0025496E">
      <w:pPr>
        <w:spacing w:before="255" w:after="255" w:line="25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261F42" w:rsidRPr="00261F42" w:rsidRDefault="00261F42" w:rsidP="0025496E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61F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Конституционный Суд РФ постановил, что ТК не позволяет включать в зарплату (ее часть), не превышающую МРОТ, оплату сверхурочной работы, работы в ночное время, выходные и нерабочие праздничные дни. Оспоренные нормы не противоречат Конституции РФ.</w:t>
      </w:r>
    </w:p>
    <w:p w:rsidR="00DB137C" w:rsidRDefault="00DB137C" w:rsidP="0025496E">
      <w:pPr>
        <w:jc w:val="both"/>
      </w:pPr>
    </w:p>
    <w:sectPr w:rsidR="00D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EE"/>
    <w:rsid w:val="0025496E"/>
    <w:rsid w:val="00261F42"/>
    <w:rsid w:val="00515EEE"/>
    <w:rsid w:val="00D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409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3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1840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Нещадина Мария Александровна</dc:creator>
  <cp:lastModifiedBy>Нещадина Мария Александровна</cp:lastModifiedBy>
  <cp:revision>3</cp:revision>
  <dcterms:created xsi:type="dcterms:W3CDTF">2019-05-16T05:42:00Z</dcterms:created>
  <dcterms:modified xsi:type="dcterms:W3CDTF">2019-05-16T05:42:00Z</dcterms:modified>
</cp:coreProperties>
</file>